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418F82D1" w14:textId="4527FE6B" w:rsidR="00976393" w:rsidRPr="00A34EAB" w:rsidRDefault="00000000" w:rsidP="000E6C6A">
      <w:pPr>
        <w:jc w:val="both"/>
        <w:rPr>
          <w:rFonts w:ascii="Arial" w:hAnsi="Arial"/>
          <w:caps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4/2025-L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06/01/2025,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Guilherme Araujo Nunes.  </w:t>
      </w: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Altera dispositivos da Lei nº 4.332, de 11 de dezembro de 2014, que "Dispõe sobre a obrigatoriedade do reparo/conserto dos buracos e valas abertos nas vias, logradouros e passeios públicos, e dá outras providências"”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6 de fevereiro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404B0F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404B0F" w14:paraId="6CC1C542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D09FA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89C79F" w14:textId="5051B689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17BC059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2E473F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16FFEDF" w14:textId="5E5986C0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009199B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0B96A64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4E7F" w14:textId="77777777" w:rsidR="00FE5446" w:rsidRDefault="00FE5446">
      <w:r>
        <w:separator/>
      </w:r>
    </w:p>
  </w:endnote>
  <w:endnote w:type="continuationSeparator" w:id="0">
    <w:p w14:paraId="73BACB40" w14:textId="77777777" w:rsidR="00FE5446" w:rsidRDefault="00FE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D15E" w14:textId="77777777" w:rsidR="00FE5446" w:rsidRDefault="00FE5446">
      <w:r>
        <w:separator/>
      </w:r>
    </w:p>
  </w:footnote>
  <w:footnote w:type="continuationSeparator" w:id="0">
    <w:p w14:paraId="66FB9707" w14:textId="77777777" w:rsidR="00FE5446" w:rsidRDefault="00FE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39DA5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0E6C6A"/>
    <w:rsid w:val="00102AE8"/>
    <w:rsid w:val="0010553D"/>
    <w:rsid w:val="0014590C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04B0F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2025-02-06T18:14:00Z</dcterms:modified>
</cp:coreProperties>
</file>