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9551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689A13B3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37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14:paraId="79F29A9B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B2231AE" w14:textId="11131B7D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48/2025-</w:t>
      </w:r>
      <w:r w:rsidR="000C1940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22/05/2025,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0C1940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19D8C657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C3DC143" w14:textId="6B63A593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2441A9">
        <w:rPr>
          <w:rFonts w:cs="Arial"/>
          <w:b w:val="0"/>
          <w:szCs w:val="24"/>
          <w:u w:val="none"/>
        </w:rPr>
        <w:t>Rafael Tanzi de Araújo</w:t>
      </w:r>
      <w:r w:rsidRPr="00E60AE8">
        <w:rPr>
          <w:rFonts w:cs="Arial"/>
          <w:b w:val="0"/>
          <w:szCs w:val="24"/>
          <w:u w:val="none"/>
        </w:rPr>
        <w:t>.</w:t>
      </w:r>
    </w:p>
    <w:p w14:paraId="582BF005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28A3D10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R$ 1.175.116,98 (um milhão, cento e setenta e cinco mil cento e dezesseis reais e noventa e oito centavos).”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F95B708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1D9B7311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6F9A1FC0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06C0FB05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346AA271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22 de maio de 2025.</w:t>
      </w:r>
    </w:p>
    <w:p w14:paraId="79E6A8A8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20E12C8B" w14:textId="0E18F99B" w:rsidR="006D3873" w:rsidRPr="00E60AE8" w:rsidRDefault="002441A9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79769F8B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56D38989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0C50384C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0557FC" w14:paraId="5B4CC7BA" w14:textId="77777777" w:rsidTr="002441A9">
        <w:trPr>
          <w:trHeight w:val="718"/>
          <w:jc w:val="center"/>
        </w:trPr>
        <w:tc>
          <w:tcPr>
            <w:tcW w:w="4873" w:type="dxa"/>
          </w:tcPr>
          <w:p w14:paraId="7C8C61D2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091A78E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5ED5CC93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4B160303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267E5B3D" w14:textId="77777777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587F0222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1B81BD6D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CFA1DF6" w14:textId="77777777" w:rsidR="002441A9" w:rsidRPr="002441A9" w:rsidRDefault="002441A9" w:rsidP="002441A9">
      <w:pPr>
        <w:tabs>
          <w:tab w:val="left" w:pos="3120"/>
        </w:tabs>
        <w:jc w:val="center"/>
        <w:rPr>
          <w:rFonts w:ascii="Arial" w:hAnsi="Arial"/>
          <w:b/>
          <w:bCs/>
          <w:sz w:val="24"/>
          <w:szCs w:val="24"/>
        </w:rPr>
      </w:pPr>
      <w:r w:rsidRPr="002441A9">
        <w:rPr>
          <w:rFonts w:ascii="Arial" w:hAnsi="Arial"/>
          <w:b/>
          <w:bCs/>
          <w:sz w:val="24"/>
          <w:szCs w:val="24"/>
        </w:rPr>
        <w:t>ANTONIO MARCOS CARVALHO DE BRITO</w:t>
      </w:r>
    </w:p>
    <w:p w14:paraId="7F83B040" w14:textId="425C2409" w:rsidR="00261687" w:rsidRPr="002441A9" w:rsidRDefault="002441A9" w:rsidP="002441A9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2441A9">
        <w:rPr>
          <w:rFonts w:ascii="Arial" w:hAnsi="Arial"/>
          <w:sz w:val="24"/>
          <w:szCs w:val="24"/>
        </w:rPr>
        <w:t>MEMBRO CPOFC</w:t>
      </w:r>
    </w:p>
    <w:sectPr w:rsidR="00261687" w:rsidRPr="002441A9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2327" w14:textId="77777777" w:rsidR="00357744" w:rsidRDefault="00357744">
      <w:r>
        <w:separator/>
      </w:r>
    </w:p>
  </w:endnote>
  <w:endnote w:type="continuationSeparator" w:id="0">
    <w:p w14:paraId="15C6EE56" w14:textId="77777777" w:rsidR="00357744" w:rsidRDefault="0035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C370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37A1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FDB0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EA64" w14:textId="77777777" w:rsidR="00357744" w:rsidRDefault="00357744">
      <w:r>
        <w:separator/>
      </w:r>
    </w:p>
  </w:footnote>
  <w:footnote w:type="continuationSeparator" w:id="0">
    <w:p w14:paraId="38DFACCF" w14:textId="77777777" w:rsidR="00357744" w:rsidRDefault="00357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7E15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D34B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48341E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02A98E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7D3963CE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DB6E062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0BCACBEC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7DFDD8AC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0E6E4AA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830E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7FC"/>
    <w:rsid w:val="00055803"/>
    <w:rsid w:val="00062DA6"/>
    <w:rsid w:val="000C1940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441A9"/>
    <w:rsid w:val="00256F35"/>
    <w:rsid w:val="00261687"/>
    <w:rsid w:val="0027555F"/>
    <w:rsid w:val="002E5DE2"/>
    <w:rsid w:val="002F57AD"/>
    <w:rsid w:val="002F791A"/>
    <w:rsid w:val="00337621"/>
    <w:rsid w:val="003524CE"/>
    <w:rsid w:val="00357744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C2830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84366B0"/>
  <w15:docId w15:val="{6879B3EB-91ED-4ED6-8AA1-066FFB73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33</cp:revision>
  <dcterms:created xsi:type="dcterms:W3CDTF">2017-08-03T13:32:00Z</dcterms:created>
  <dcterms:modified xsi:type="dcterms:W3CDTF">2025-05-22T18:42:00Z</dcterms:modified>
</cp:coreProperties>
</file>